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第一部分：化学品名称</w:t>
            </w:r>
            <w:r>
              <w:rPr>
                <w:rFonts w:hint="eastAsia"/>
                <w:b/>
                <w:szCs w:val="21"/>
              </w:rPr>
              <w:t>和公司信息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765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PU耐磨剂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765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PURI05-2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产品用途</w:t>
            </w:r>
          </w:p>
        </w:tc>
        <w:tc>
          <w:tcPr>
            <w:tcW w:w="765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提高耐磨性能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</w:p>
        </w:tc>
        <w:tc>
          <w:tcPr>
            <w:tcW w:w="7654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广东宝升聚氨酯科技有限公司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7654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东莞市中堂镇蕉利村东和工业区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7654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0769-88188806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7654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0769-88187719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7654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网址</w:t>
            </w:r>
          </w:p>
        </w:tc>
        <w:tc>
          <w:tcPr>
            <w:tcW w:w="7654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685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>
            <w:pPr>
              <w:rPr>
                <w:b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/>
                <w:b/>
                <w:szCs w:val="21"/>
              </w:rPr>
              <w:t>第二部分：化学组成信息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化学名称</w:t>
            </w:r>
          </w:p>
        </w:tc>
        <w:tc>
          <w:tcPr>
            <w:tcW w:w="368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含量</w:t>
            </w:r>
          </w:p>
        </w:tc>
        <w:tc>
          <w:tcPr>
            <w:tcW w:w="396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CAS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醇酸化合物</w:t>
            </w:r>
          </w:p>
        </w:tc>
        <w:tc>
          <w:tcPr>
            <w:tcW w:w="368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55%</w:t>
            </w:r>
          </w:p>
        </w:tc>
        <w:tc>
          <w:tcPr>
            <w:tcW w:w="396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rPr>
                <w:szCs w:val="21"/>
              </w:rPr>
            </w:pPr>
          </w:p>
        </w:tc>
        <w:tc>
          <w:tcPr>
            <w:tcW w:w="396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bookmarkEnd w:id="0"/>
      <w:bookmarkEnd w:id="1"/>
    </w:tbl>
    <w:p>
      <w:pPr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第三部分：危险性概述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765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侵入途径</w:t>
            </w:r>
          </w:p>
        </w:tc>
        <w:tc>
          <w:tcPr>
            <w:tcW w:w="765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皮肤、眼睛接触，吸入，口服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</w:tcPr>
          <w:p>
            <w:pPr>
              <w:rPr>
                <w:szCs w:val="21"/>
              </w:rPr>
            </w:pPr>
          </w:p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健康危害</w:t>
            </w:r>
          </w:p>
        </w:tc>
        <w:tc>
          <w:tcPr>
            <w:tcW w:w="9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眼睛</w:t>
            </w:r>
          </w:p>
        </w:tc>
        <w:tc>
          <w:tcPr>
            <w:tcW w:w="666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对眼睛有刺激作用，可能导致眼睛灼伤或者失明。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皮肤</w:t>
            </w:r>
          </w:p>
        </w:tc>
        <w:tc>
          <w:tcPr>
            <w:tcW w:w="666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接触本品会导致皮肤和黏膜的化学烧伤或永久性组织损伤。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吸入</w:t>
            </w:r>
          </w:p>
        </w:tc>
        <w:tc>
          <w:tcPr>
            <w:tcW w:w="666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</w:rPr>
              <w:t>吸入的雾或蒸汽可能会导致咳嗽，喉咙痛，呼吸急促，肺损伤或化学性肺炎。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口服</w:t>
            </w:r>
          </w:p>
        </w:tc>
        <w:tc>
          <w:tcPr>
            <w:tcW w:w="666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如果口服，本品对消化道有腐蚀作用</w:t>
            </w:r>
          </w:p>
        </w:tc>
      </w:tr>
    </w:tbl>
    <w:p>
      <w:pPr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1897" w:hanging="1897" w:hangingChars="9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第四部分：急救措施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890" w:hanging="1890" w:hanging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眼睛接触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提起眼睑，立即用流动清水冲洗至少15分钟，用生理盐水冲洗30分钟，如症状持续，去医院就医。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890" w:hanging="1890" w:hanging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皮肤接触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立即脱去污染的衣着，并用大量的清水冲洗皮肤至少15分钟。如症状持续，去医院就医。衣物重新使用前需清洗。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890" w:hanging="1890" w:hanging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吸入</w:t>
            </w:r>
          </w:p>
        </w:tc>
        <w:tc>
          <w:tcPr>
            <w:tcW w:w="7711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立即将患者从暴露处移至空气新鲜处。如果停止呼吸，给予人工呼吸，如果呼吸困难，给予吸氧，迅速就医。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890" w:hanging="1890" w:hanging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误食</w:t>
            </w:r>
          </w:p>
        </w:tc>
        <w:tc>
          <w:tcPr>
            <w:tcW w:w="7711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用清水漱口，并引用足量温水，催吐，并立即去医院就医。</w:t>
            </w:r>
          </w:p>
        </w:tc>
      </w:tr>
    </w:tbl>
    <w:p>
      <w:pPr>
        <w:ind w:left="1890" w:hanging="1890" w:hangingChars="90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7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2003" w:hanging="2003" w:hangingChars="9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第五部分：消防措施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995" w:hanging="1995" w:hanging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适合的灭火介质</w:t>
            </w:r>
          </w:p>
        </w:tc>
        <w:tc>
          <w:tcPr>
            <w:tcW w:w="7711" w:type="dxa"/>
          </w:tcPr>
          <w:p>
            <w:pPr>
              <w:ind w:left="1995" w:hanging="1995" w:hanging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粉尘灭火、二氧化碳、泡、砂等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spacing w:line="480" w:lineRule="auto"/>
              <w:ind w:left="1995" w:hanging="1995" w:hanging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灭火注意事项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尽可能将容器从火场移至空旷处，防止泄露等。移动不可能的情况下，容器破损不要注水冷却。注意灭火和水稀释流出的污染。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0" w:type="dxa"/>
          </w:tcPr>
          <w:p>
            <w:pPr>
              <w:ind w:left="1995" w:hanging="1995" w:hanging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消防员保护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工作时要佩戴保具，保护口罩、保护眼睛、保护手套、保护长靴、保护服等，灭火从上风口进行。</w:t>
            </w:r>
          </w:p>
        </w:tc>
      </w:tr>
    </w:tbl>
    <w:p>
      <w:pPr>
        <w:ind w:left="1995" w:hanging="1995" w:hangingChars="95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6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2530" w:hanging="2530" w:hangingChars="1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第六部分：</w:t>
            </w:r>
            <w:r>
              <w:rPr>
                <w:b/>
                <w:szCs w:val="21"/>
              </w:rPr>
              <w:t>泄漏应急处理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个人防护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下风中作业，</w:t>
            </w:r>
            <w:r>
              <w:t>建议应急处理人员戴自给正压式呼吸器，穿防静电工作服。尽可能切断泄漏源。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环境保护</w:t>
            </w:r>
          </w:p>
        </w:tc>
        <w:tc>
          <w:tcPr>
            <w:tcW w:w="7711" w:type="dxa"/>
          </w:tcPr>
          <w:p>
            <w:r>
              <w:t>防止</w:t>
            </w:r>
            <w:r>
              <w:rPr>
                <w:rFonts w:hint="eastAsia"/>
              </w:rPr>
              <w:t>液体直接</w:t>
            </w:r>
            <w:r>
              <w:t>流入下水道、排洪沟等限制性</w:t>
            </w:r>
            <w:r>
              <w:rPr>
                <w:rFonts w:hint="eastAsia"/>
              </w:rPr>
              <w:t>水系统。万一发生请立即告之政府应急机构。容器尽量回收。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</w:p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应急处理</w:t>
            </w:r>
          </w:p>
        </w:tc>
        <w:tc>
          <w:tcPr>
            <w:tcW w:w="7711" w:type="dxa"/>
          </w:tcPr>
          <w:p>
            <w:r>
              <w:t>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补充资料</w:t>
            </w:r>
          </w:p>
        </w:tc>
        <w:tc>
          <w:tcPr>
            <w:tcW w:w="7711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无危险物质释放，按规定处理收集废料。</w:t>
            </w:r>
          </w:p>
        </w:tc>
      </w:tr>
    </w:tbl>
    <w:p>
      <w:pPr>
        <w:ind w:left="2520" w:hanging="2520" w:hangingChars="120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6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2530" w:hanging="2530" w:hangingChars="1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第七部分：操作处置及储存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安全处理</w:t>
            </w:r>
          </w:p>
        </w:tc>
        <w:tc>
          <w:tcPr>
            <w:tcW w:w="7711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使用处理化学品通用规则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防火防爆措施</w:t>
            </w:r>
          </w:p>
        </w:tc>
        <w:tc>
          <w:tcPr>
            <w:tcW w:w="7711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无特别要求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操作注意事项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避免与眼睛和皮肤接触。在通风良好的场所内使用。当有接触风险时，穿戴防护服。操作处置时，严禁进食、饮水或吸烟。容器不用时，保持密闭。操作后用肥皂和清水洗手。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2520" w:hanging="2520" w:hangingChars="1200"/>
              <w:rPr>
                <w:szCs w:val="21"/>
              </w:rPr>
            </w:pPr>
            <w:r>
              <w:rPr>
                <w:rFonts w:hint="eastAsia"/>
                <w:szCs w:val="21"/>
              </w:rPr>
              <w:t>储存注意事项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储存于原装容器中。保持容器密闭。储存阴凉、干燥、通风良好的场所。远离禁忌物强酸、强氧化剂等储存，防止容器受到物理损伤，定期检查容器的泄露情况。</w:t>
            </w:r>
          </w:p>
        </w:tc>
      </w:tr>
    </w:tbl>
    <w:p>
      <w:pPr>
        <w:ind w:left="2520" w:hanging="2520" w:hangingChars="120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第八部分：接触控制/个体防护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工程控制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在通风处使用，保证使用环境（包括空气、灰尘等）达到权威部门规定的标准。使用局部机械排风，去除对空气的污染。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眼睛防护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戴安全防护眼镜</w:t>
            </w:r>
            <w:r>
              <w:rPr>
                <w:rFonts w:hint="eastAsia"/>
                <w:szCs w:val="21"/>
              </w:rPr>
              <w:t>，戴面罩。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手防护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穿戴耐酸碱防护</w:t>
            </w:r>
            <w:r>
              <w:rPr>
                <w:szCs w:val="21"/>
              </w:rPr>
              <w:t>手套。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身体防护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穿戴防护服和工作靴，以防止皮肤接触。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呼吸系统防护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佩戴合适的通风防护设备，避免吸入蒸汽或薄雾。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其他防护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推荐使用洗眼器和紧急冲淋器。</w:t>
            </w:r>
          </w:p>
        </w:tc>
      </w:tr>
    </w:tbl>
    <w:p>
      <w:pPr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1581" w:hanging="1581" w:hangingChars="750"/>
              <w:rPr>
                <w:b/>
                <w:szCs w:val="21"/>
              </w:rPr>
            </w:pPr>
            <w:r>
              <w:rPr>
                <w:b/>
                <w:szCs w:val="21"/>
              </w:rPr>
              <w:t>第九部分：理化特性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状态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膏状液体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颜色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乳白色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气味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无味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pH值（1%水溶液）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沸点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熔点/冰点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-15.5°C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比重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0.98（20°C）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分散性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溶解性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溶于溶剂，可混溶于丙酮、醚、醇等</w:t>
            </w:r>
          </w:p>
        </w:tc>
      </w:tr>
    </w:tbl>
    <w:p>
      <w:pPr>
        <w:ind w:left="1575" w:hanging="1575" w:hangingChars="75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1581" w:hanging="1581" w:hangingChars="750"/>
              <w:rPr>
                <w:b/>
                <w:szCs w:val="21"/>
              </w:rPr>
            </w:pPr>
            <w:r>
              <w:rPr>
                <w:b/>
                <w:szCs w:val="21"/>
              </w:rPr>
              <w:t>第十部分：稳定性和反应性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反应性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在正常情况下，不会与其他物质发生反应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化学稳定性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若依据规定存储，该产品是稳定的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不兼容的材料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强氧化剂，强酸，强碱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可能的分解产物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若按规定储存和操作无有害产物</w:t>
            </w:r>
          </w:p>
        </w:tc>
      </w:tr>
    </w:tbl>
    <w:p>
      <w:pPr>
        <w:ind w:left="1575" w:hanging="1575" w:hangingChars="75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1581" w:hanging="1581" w:hangingChars="750"/>
              <w:rPr>
                <w:b/>
                <w:szCs w:val="21"/>
              </w:rPr>
            </w:pPr>
            <w:r>
              <w:rPr>
                <w:b/>
                <w:szCs w:val="21"/>
              </w:rPr>
              <w:t>第十一部分：毒理学资料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急性毒性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健康危害信息见第3部分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711" w:type="dxa"/>
          </w:tcPr>
          <w:p>
            <w:pPr>
              <w:ind w:left="1575" w:hanging="1575" w:hanging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可能灼伤皮肤和眼睛。</w:t>
            </w:r>
          </w:p>
        </w:tc>
      </w:tr>
    </w:tbl>
    <w:p>
      <w:pPr>
        <w:ind w:left="1575" w:hanging="1575" w:hangingChars="750"/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ind w:left="1581" w:hanging="1581" w:hangingChars="750"/>
              <w:rPr>
                <w:b/>
              </w:rPr>
            </w:pPr>
            <w:r>
              <w:rPr>
                <w:b/>
              </w:rPr>
              <w:t>第十二部分：生态学资料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ind w:left="1575" w:hanging="1575" w:hangingChars="750"/>
            </w:pPr>
            <w:r>
              <w:rPr>
                <w:rFonts w:hint="eastAsia"/>
              </w:rPr>
              <w:t>生态毒性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ind w:left="1575" w:hanging="1575" w:hangingChars="750"/>
            </w:pPr>
            <w:r>
              <w:rPr>
                <w:rFonts w:hint="eastAsia"/>
              </w:rPr>
              <w:t>致癌性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ind w:left="1575" w:hanging="1575" w:hangingChars="750"/>
            </w:pPr>
            <w:r>
              <w:rPr>
                <w:rFonts w:hint="eastAsia"/>
              </w:rPr>
              <w:t>致突变性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ind w:left="1575" w:hanging="1575" w:hangingChars="750"/>
            </w:pPr>
            <w:r>
              <w:rPr>
                <w:rFonts w:hint="eastAsia"/>
              </w:rPr>
              <w:t>生物降解性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ind w:left="1575" w:hanging="1575" w:hangingChars="750"/>
            </w:pPr>
            <w:r>
              <w:rPr>
                <w:rFonts w:hint="eastAsia"/>
              </w:rPr>
              <w:t>非生物降解性</w:t>
            </w:r>
          </w:p>
        </w:tc>
        <w:tc>
          <w:tcPr>
            <w:tcW w:w="7711" w:type="dxa"/>
          </w:tcPr>
          <w:p>
            <w:r>
              <w:rPr>
                <w:rFonts w:hint="eastAsia"/>
              </w:rPr>
              <w:t>无资料。</w:t>
            </w:r>
          </w:p>
        </w:tc>
      </w:tr>
    </w:tbl>
    <w:p>
      <w:pPr>
        <w:ind w:left="1575" w:hanging="1575" w:hangingChars="750"/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tabs>
                <w:tab w:val="left" w:pos="705"/>
              </w:tabs>
              <w:spacing w:line="260" w:lineRule="exact"/>
              <w:rPr>
                <w:b/>
              </w:rPr>
            </w:pPr>
            <w:r>
              <w:rPr>
                <w:b/>
              </w:rPr>
              <w:t>第十三部分：废弃处置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70" w:type="dxa"/>
            <w:vAlign w:val="center"/>
          </w:tcPr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</w:rPr>
              <w:t>废弃处置</w:t>
            </w:r>
          </w:p>
        </w:tc>
        <w:tc>
          <w:tcPr>
            <w:tcW w:w="7711" w:type="dxa"/>
          </w:tcPr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  <w:sz w:val="23"/>
                <w:szCs w:val="23"/>
              </w:rPr>
              <w:t>将剩余的和未回收的产品交给公司处理，联系专业的拥有废弃物处理执照的机构来处理此物质。在备有燃烧后处理和洗刷作用的化学焚化炉中燃烧。污染了的包装物，作为未用过的产品弃置。</w:t>
            </w:r>
          </w:p>
        </w:tc>
      </w:tr>
    </w:tbl>
    <w:p>
      <w:pPr>
        <w:tabs>
          <w:tab w:val="left" w:pos="705"/>
        </w:tabs>
        <w:spacing w:line="260" w:lineRule="exact"/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tabs>
                <w:tab w:val="left" w:pos="705"/>
              </w:tabs>
              <w:spacing w:line="260" w:lineRule="exact"/>
              <w:rPr>
                <w:b/>
              </w:rPr>
            </w:pPr>
            <w:r>
              <w:rPr>
                <w:b/>
              </w:rPr>
              <w:t>第十四部分：运输信息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</w:rPr>
              <w:t>运输/附加信息</w:t>
            </w:r>
          </w:p>
        </w:tc>
        <w:tc>
          <w:tcPr>
            <w:tcW w:w="7654" w:type="dxa"/>
          </w:tcPr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</w:rPr>
              <w:t>起运时包装要完整，装载应稳妥。运输过程中要确保容器不泄露、不倒塌、不坠落、不损坏。严禁与禁配物混装运。运输车辆应配备相应品种和数量的消防器材及泄露应急处理设备。运输途中应防暴晒、防雨淋、防高温。</w:t>
            </w:r>
          </w:p>
        </w:tc>
      </w:tr>
    </w:tbl>
    <w:p>
      <w:pPr>
        <w:tabs>
          <w:tab w:val="left" w:pos="705"/>
        </w:tabs>
        <w:spacing w:line="260" w:lineRule="exact"/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tabs>
                <w:tab w:val="left" w:pos="705"/>
              </w:tabs>
              <w:spacing w:line="260" w:lineRule="exact"/>
              <w:rPr>
                <w:b/>
              </w:rPr>
            </w:pPr>
            <w:r>
              <w:rPr>
                <w:b/>
              </w:rPr>
              <w:t>第十五部分：法规信息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</w:rPr>
              <w:t>法规信息</w:t>
            </w:r>
          </w:p>
        </w:tc>
        <w:tc>
          <w:tcPr>
            <w:tcW w:w="7654" w:type="dxa"/>
          </w:tcPr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</w:rPr>
              <w:t>危险化学品安全管理条例：</w:t>
            </w:r>
          </w:p>
          <w:p>
            <w:pPr>
              <w:pStyle w:val="10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请注意废物处理也应该满足当地法规的要求。</w:t>
            </w:r>
          </w:p>
          <w:p>
            <w:pPr>
              <w:pStyle w:val="10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若适用，该化学品应满足《危险化学品安全管理条例》（</w:t>
            </w:r>
            <w:r>
              <w:rPr>
                <w:rFonts w:ascii="Times New Roman" w:cs="Times New Roman"/>
                <w:sz w:val="23"/>
                <w:szCs w:val="23"/>
              </w:rPr>
              <w:t>2002</w:t>
            </w:r>
            <w:r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ascii="Times New Roman" w:cs="Times New Roman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ascii="Times New Roman" w:cs="Times New Roman"/>
                <w:sz w:val="23"/>
                <w:szCs w:val="23"/>
              </w:rPr>
              <w:t>9</w:t>
            </w:r>
            <w:r>
              <w:rPr>
                <w:rFonts w:hint="eastAsia"/>
                <w:sz w:val="23"/>
                <w:szCs w:val="23"/>
              </w:rPr>
              <w:t>号国务院通过）的要求。</w:t>
            </w:r>
          </w:p>
          <w:p>
            <w:pPr>
              <w:tabs>
                <w:tab w:val="left" w:pos="705"/>
              </w:tabs>
              <w:spacing w:line="260" w:lineRule="exact"/>
            </w:pPr>
            <w:r>
              <w:rPr>
                <w:rFonts w:hint="eastAsia"/>
              </w:rPr>
              <w:t>所有组分已列入中国现有化学物质名录。</w:t>
            </w:r>
          </w:p>
        </w:tc>
      </w:tr>
    </w:tbl>
    <w:p>
      <w:pPr>
        <w:rPr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第十六部分：其他信息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概述</w:t>
            </w:r>
          </w:p>
        </w:tc>
        <w:tc>
          <w:tcPr>
            <w:tcW w:w="771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此资料是根据我们目前最新知识而定，不能作为任何特定产品特性的保证，也不能作为有法律效力的合约。</w:t>
            </w:r>
          </w:p>
        </w:tc>
      </w:tr>
    </w:tbl>
    <w:p>
      <w:pPr>
        <w:rPr>
          <w:szCs w:val="21"/>
        </w:rPr>
      </w:pPr>
    </w:p>
    <w:p>
      <w:pPr>
        <w:tabs>
          <w:tab w:val="left" w:pos="1980"/>
        </w:tabs>
        <w:rPr>
          <w:szCs w:val="21"/>
        </w:rPr>
      </w:pPr>
      <w:r>
        <w:rPr>
          <w:szCs w:val="21"/>
        </w:rPr>
        <w:tab/>
      </w:r>
    </w:p>
    <w:p>
      <w:pPr>
        <w:rPr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center"/>
      <w:rPr>
        <w:rFonts w:ascii="黑体" w:eastAsia="黑体"/>
        <w:b/>
        <w:sz w:val="48"/>
        <w:szCs w:val="48"/>
      </w:rPr>
    </w:pPr>
    <w:r>
      <w:rPr>
        <w:rFonts w:hint="eastAsia" w:ascii="黑体" w:eastAsia="黑体"/>
        <w:b/>
        <w:sz w:val="48"/>
        <w:szCs w:val="48"/>
      </w:rPr>
      <w:t>材料安全技术说明书</w:t>
    </w:r>
  </w:p>
  <w:p>
    <w:pPr>
      <w:adjustRightInd w:val="0"/>
      <w:snapToGrid w:val="0"/>
      <w:jc w:val="center"/>
      <w:rPr>
        <w:rFonts w:ascii="黑体" w:eastAsia="黑体"/>
        <w:b/>
        <w:sz w:val="44"/>
        <w:szCs w:val="44"/>
      </w:rPr>
    </w:pPr>
    <w:r>
      <w:rPr>
        <w:rFonts w:hint="eastAsia"/>
        <w:b/>
        <w:sz w:val="44"/>
        <w:szCs w:val="44"/>
      </w:rPr>
      <w:t>MSDS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F16"/>
    <w:rsid w:val="00003D32"/>
    <w:rsid w:val="000668CF"/>
    <w:rsid w:val="0007717E"/>
    <w:rsid w:val="00087FC5"/>
    <w:rsid w:val="00091F57"/>
    <w:rsid w:val="00096B95"/>
    <w:rsid w:val="000A1761"/>
    <w:rsid w:val="000A71C9"/>
    <w:rsid w:val="000B1647"/>
    <w:rsid w:val="000C01A9"/>
    <w:rsid w:val="000C25A2"/>
    <w:rsid w:val="000F3D61"/>
    <w:rsid w:val="00104F1B"/>
    <w:rsid w:val="0011383A"/>
    <w:rsid w:val="00134FF5"/>
    <w:rsid w:val="00152789"/>
    <w:rsid w:val="00153D1B"/>
    <w:rsid w:val="001566ED"/>
    <w:rsid w:val="0016371D"/>
    <w:rsid w:val="001E232E"/>
    <w:rsid w:val="001E3876"/>
    <w:rsid w:val="001F5080"/>
    <w:rsid w:val="002000BD"/>
    <w:rsid w:val="002124B2"/>
    <w:rsid w:val="002303E8"/>
    <w:rsid w:val="00246C1D"/>
    <w:rsid w:val="00273469"/>
    <w:rsid w:val="002973D8"/>
    <w:rsid w:val="002A6621"/>
    <w:rsid w:val="002B52F5"/>
    <w:rsid w:val="002C1DC8"/>
    <w:rsid w:val="002C64B4"/>
    <w:rsid w:val="002E0B51"/>
    <w:rsid w:val="0030661D"/>
    <w:rsid w:val="003135D4"/>
    <w:rsid w:val="0031509C"/>
    <w:rsid w:val="0032063F"/>
    <w:rsid w:val="003233F8"/>
    <w:rsid w:val="0033314E"/>
    <w:rsid w:val="0035401B"/>
    <w:rsid w:val="003562CB"/>
    <w:rsid w:val="00365324"/>
    <w:rsid w:val="00381D68"/>
    <w:rsid w:val="0039108C"/>
    <w:rsid w:val="00397E80"/>
    <w:rsid w:val="003A63B2"/>
    <w:rsid w:val="003C4889"/>
    <w:rsid w:val="003D3BC4"/>
    <w:rsid w:val="003E1186"/>
    <w:rsid w:val="00401831"/>
    <w:rsid w:val="004024E1"/>
    <w:rsid w:val="00402729"/>
    <w:rsid w:val="00404F88"/>
    <w:rsid w:val="00406942"/>
    <w:rsid w:val="0042746D"/>
    <w:rsid w:val="0043082E"/>
    <w:rsid w:val="00431411"/>
    <w:rsid w:val="00437F16"/>
    <w:rsid w:val="00447852"/>
    <w:rsid w:val="00471D4F"/>
    <w:rsid w:val="0049242C"/>
    <w:rsid w:val="004952B0"/>
    <w:rsid w:val="00497379"/>
    <w:rsid w:val="004B113A"/>
    <w:rsid w:val="004D3EFC"/>
    <w:rsid w:val="004D6770"/>
    <w:rsid w:val="00522249"/>
    <w:rsid w:val="00544499"/>
    <w:rsid w:val="00550B76"/>
    <w:rsid w:val="00566C11"/>
    <w:rsid w:val="00591CF7"/>
    <w:rsid w:val="005A0965"/>
    <w:rsid w:val="005B6235"/>
    <w:rsid w:val="005D2014"/>
    <w:rsid w:val="00602574"/>
    <w:rsid w:val="00615E0C"/>
    <w:rsid w:val="00630DB9"/>
    <w:rsid w:val="00642146"/>
    <w:rsid w:val="00646179"/>
    <w:rsid w:val="00655D66"/>
    <w:rsid w:val="006568A2"/>
    <w:rsid w:val="0066377D"/>
    <w:rsid w:val="00667824"/>
    <w:rsid w:val="00690F79"/>
    <w:rsid w:val="006A3AB7"/>
    <w:rsid w:val="006A55EF"/>
    <w:rsid w:val="006A7017"/>
    <w:rsid w:val="006D0365"/>
    <w:rsid w:val="006F7320"/>
    <w:rsid w:val="007039FE"/>
    <w:rsid w:val="00705EB3"/>
    <w:rsid w:val="007153D2"/>
    <w:rsid w:val="0072115E"/>
    <w:rsid w:val="00734100"/>
    <w:rsid w:val="007638BE"/>
    <w:rsid w:val="00764D1B"/>
    <w:rsid w:val="00772299"/>
    <w:rsid w:val="00772EE9"/>
    <w:rsid w:val="007800C7"/>
    <w:rsid w:val="007804F9"/>
    <w:rsid w:val="0078430D"/>
    <w:rsid w:val="007952EA"/>
    <w:rsid w:val="007C0791"/>
    <w:rsid w:val="007C7A72"/>
    <w:rsid w:val="007D1B6D"/>
    <w:rsid w:val="007D3B9D"/>
    <w:rsid w:val="007E3FD1"/>
    <w:rsid w:val="00807EA8"/>
    <w:rsid w:val="00824C16"/>
    <w:rsid w:val="00825CEE"/>
    <w:rsid w:val="00844B34"/>
    <w:rsid w:val="00850E0F"/>
    <w:rsid w:val="008570D0"/>
    <w:rsid w:val="00876614"/>
    <w:rsid w:val="00890187"/>
    <w:rsid w:val="008B2EC8"/>
    <w:rsid w:val="008E6151"/>
    <w:rsid w:val="0090033F"/>
    <w:rsid w:val="00945105"/>
    <w:rsid w:val="00947A90"/>
    <w:rsid w:val="00952177"/>
    <w:rsid w:val="0095301F"/>
    <w:rsid w:val="009650C2"/>
    <w:rsid w:val="0099636B"/>
    <w:rsid w:val="009A2FE4"/>
    <w:rsid w:val="009B25BF"/>
    <w:rsid w:val="009C07A4"/>
    <w:rsid w:val="009C6A20"/>
    <w:rsid w:val="009E31C3"/>
    <w:rsid w:val="00A1123D"/>
    <w:rsid w:val="00A11C44"/>
    <w:rsid w:val="00A14DF2"/>
    <w:rsid w:val="00A17E58"/>
    <w:rsid w:val="00A32D8E"/>
    <w:rsid w:val="00A444F6"/>
    <w:rsid w:val="00A46138"/>
    <w:rsid w:val="00A60568"/>
    <w:rsid w:val="00A71B1C"/>
    <w:rsid w:val="00A72904"/>
    <w:rsid w:val="00A73D9F"/>
    <w:rsid w:val="00A74ED3"/>
    <w:rsid w:val="00A844C0"/>
    <w:rsid w:val="00A84588"/>
    <w:rsid w:val="00A91DC9"/>
    <w:rsid w:val="00AA5405"/>
    <w:rsid w:val="00AC6ADE"/>
    <w:rsid w:val="00AC749F"/>
    <w:rsid w:val="00AD5C99"/>
    <w:rsid w:val="00AE529D"/>
    <w:rsid w:val="00AE5795"/>
    <w:rsid w:val="00AF670A"/>
    <w:rsid w:val="00AF7AB3"/>
    <w:rsid w:val="00B07F90"/>
    <w:rsid w:val="00B263FB"/>
    <w:rsid w:val="00B5261D"/>
    <w:rsid w:val="00B73CDE"/>
    <w:rsid w:val="00B74FCC"/>
    <w:rsid w:val="00B832EC"/>
    <w:rsid w:val="00B86417"/>
    <w:rsid w:val="00B9775C"/>
    <w:rsid w:val="00BA394D"/>
    <w:rsid w:val="00BC316D"/>
    <w:rsid w:val="00BC3459"/>
    <w:rsid w:val="00BD7841"/>
    <w:rsid w:val="00BE4858"/>
    <w:rsid w:val="00C313D5"/>
    <w:rsid w:val="00C418CD"/>
    <w:rsid w:val="00C64716"/>
    <w:rsid w:val="00C75694"/>
    <w:rsid w:val="00CA30A6"/>
    <w:rsid w:val="00CB19DF"/>
    <w:rsid w:val="00CB2452"/>
    <w:rsid w:val="00CC1B46"/>
    <w:rsid w:val="00CC617B"/>
    <w:rsid w:val="00CD22B9"/>
    <w:rsid w:val="00CE3CC8"/>
    <w:rsid w:val="00CF65E3"/>
    <w:rsid w:val="00D17E22"/>
    <w:rsid w:val="00D20F29"/>
    <w:rsid w:val="00D42F12"/>
    <w:rsid w:val="00D47C77"/>
    <w:rsid w:val="00D5101D"/>
    <w:rsid w:val="00D529FC"/>
    <w:rsid w:val="00D57DA2"/>
    <w:rsid w:val="00D94D2B"/>
    <w:rsid w:val="00DA14AE"/>
    <w:rsid w:val="00DC039F"/>
    <w:rsid w:val="00DC19D2"/>
    <w:rsid w:val="00DD2523"/>
    <w:rsid w:val="00DD7B48"/>
    <w:rsid w:val="00DE5759"/>
    <w:rsid w:val="00DF6C96"/>
    <w:rsid w:val="00DF7B01"/>
    <w:rsid w:val="00E34B5B"/>
    <w:rsid w:val="00E477B9"/>
    <w:rsid w:val="00E57E77"/>
    <w:rsid w:val="00E842B2"/>
    <w:rsid w:val="00E9607B"/>
    <w:rsid w:val="00EA3D67"/>
    <w:rsid w:val="00F150FB"/>
    <w:rsid w:val="00F3200D"/>
    <w:rsid w:val="00F4211B"/>
    <w:rsid w:val="00F44C60"/>
    <w:rsid w:val="00F61A52"/>
    <w:rsid w:val="00F61F59"/>
    <w:rsid w:val="00F90318"/>
    <w:rsid w:val="00FA194B"/>
    <w:rsid w:val="5A2B0C85"/>
    <w:rsid w:val="5CD2093D"/>
    <w:rsid w:val="772C7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316</Words>
  <Characters>1802</Characters>
  <Lines>15</Lines>
  <Paragraphs>4</Paragraphs>
  <TotalTime>271</TotalTime>
  <ScaleCrop>false</ScaleCrop>
  <LinksUpToDate>false</LinksUpToDate>
  <CharactersWithSpaces>2114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2014-04-10T06:05:00Z</dcterms:created>
  <dc:creator>微软用户</dc:creator>
  <cp:lastModifiedBy>Administrator</cp:lastModifiedBy>
  <cp:lastPrinted>2015-10-14T01:49:00Z</cp:lastPrinted>
  <dcterms:modified xsi:type="dcterms:W3CDTF">2020-09-21T08:18:07Z</dcterms:modified>
  <dc:title>Material Safety Data Sheet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